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6" w:rsidRPr="00A3216F" w:rsidRDefault="00506D36" w:rsidP="00506D36">
      <w:pPr>
        <w:pStyle w:val="ae"/>
        <w:rPr>
          <w:rFonts w:ascii="Tahoma" w:hAnsi="Tahoma" w:cs="Tahoma"/>
          <w:color w:val="002060"/>
          <w:sz w:val="18"/>
          <w:szCs w:val="18"/>
          <w:lang w:val="uk-UA"/>
        </w:rPr>
      </w:pPr>
    </w:p>
    <w:p w:rsidR="00506D36" w:rsidRPr="00214587" w:rsidRDefault="00506D36" w:rsidP="00506D36">
      <w:pPr>
        <w:pStyle w:val="a4"/>
        <w:jc w:val="center"/>
        <w:rPr>
          <w:rStyle w:val="ac"/>
          <w:sz w:val="28"/>
          <w:szCs w:val="28"/>
          <w:lang w:val="uk-UA"/>
        </w:rPr>
      </w:pPr>
      <w:r w:rsidRPr="00214587">
        <w:rPr>
          <w:rStyle w:val="ac"/>
          <w:sz w:val="28"/>
          <w:szCs w:val="28"/>
          <w:lang w:val="uk-UA"/>
        </w:rPr>
        <w:t>РЕЗОЛЮЦІЯ</w:t>
      </w:r>
      <w:r w:rsidRPr="00214587">
        <w:rPr>
          <w:lang w:val="uk-UA"/>
        </w:rPr>
        <w:br/>
      </w:r>
      <w:r w:rsidRPr="00214587">
        <w:rPr>
          <w:rStyle w:val="ac"/>
          <w:sz w:val="28"/>
          <w:szCs w:val="28"/>
          <w:lang w:val="uk-UA"/>
        </w:rPr>
        <w:t xml:space="preserve"> Всеукраїнської акції протесту у зв’язку з бездіяльністю влади </w:t>
      </w:r>
    </w:p>
    <w:p w:rsidR="00506D36" w:rsidRPr="00214587" w:rsidRDefault="0082705E" w:rsidP="00506D36">
      <w:pPr>
        <w:pStyle w:val="a4"/>
        <w:jc w:val="center"/>
        <w:rPr>
          <w:rStyle w:val="ac"/>
          <w:sz w:val="28"/>
          <w:szCs w:val="28"/>
          <w:lang w:val="uk-UA"/>
        </w:rPr>
      </w:pPr>
      <w:r w:rsidRPr="00214587">
        <w:rPr>
          <w:rStyle w:val="ac"/>
          <w:sz w:val="28"/>
          <w:szCs w:val="28"/>
          <w:lang w:val="uk-UA"/>
        </w:rPr>
        <w:t>щодо</w:t>
      </w:r>
      <w:r w:rsidR="00506D36" w:rsidRPr="00214587">
        <w:rPr>
          <w:rStyle w:val="ac"/>
          <w:sz w:val="28"/>
          <w:szCs w:val="28"/>
        </w:rPr>
        <w:t xml:space="preserve"> </w:t>
      </w:r>
      <w:r w:rsidRPr="00214587">
        <w:rPr>
          <w:rStyle w:val="ac"/>
          <w:sz w:val="28"/>
          <w:szCs w:val="28"/>
          <w:lang w:val="uk-UA"/>
        </w:rPr>
        <w:t>поновлення</w:t>
      </w:r>
      <w:r w:rsidR="00506D36" w:rsidRPr="00214587">
        <w:rPr>
          <w:rStyle w:val="ac"/>
          <w:sz w:val="28"/>
          <w:szCs w:val="28"/>
          <w:lang w:val="uk-UA"/>
        </w:rPr>
        <w:t xml:space="preserve"> належного пенсійного забезпечення</w:t>
      </w:r>
    </w:p>
    <w:p w:rsidR="00506D36" w:rsidRPr="00214587" w:rsidRDefault="00506D36" w:rsidP="00506D36">
      <w:pPr>
        <w:pStyle w:val="a4"/>
        <w:jc w:val="center"/>
        <w:rPr>
          <w:rStyle w:val="ac"/>
          <w:sz w:val="28"/>
          <w:szCs w:val="28"/>
          <w:lang w:val="uk-UA"/>
        </w:rPr>
      </w:pPr>
      <w:r w:rsidRPr="00214587">
        <w:rPr>
          <w:rStyle w:val="ac"/>
          <w:sz w:val="28"/>
          <w:szCs w:val="28"/>
          <w:lang w:val="uk-UA"/>
        </w:rPr>
        <w:t xml:space="preserve"> та соціального захисту </w:t>
      </w:r>
      <w:proofErr w:type="spellStart"/>
      <w:r w:rsidRPr="00214587">
        <w:rPr>
          <w:rStyle w:val="ac"/>
          <w:sz w:val="28"/>
          <w:szCs w:val="28"/>
        </w:rPr>
        <w:t>чорнобильців</w:t>
      </w:r>
      <w:proofErr w:type="spellEnd"/>
    </w:p>
    <w:p w:rsidR="00506D36" w:rsidRPr="00214587" w:rsidRDefault="00506D36" w:rsidP="00506D36">
      <w:pPr>
        <w:pStyle w:val="a4"/>
        <w:jc w:val="center"/>
        <w:rPr>
          <w:rStyle w:val="ac"/>
          <w:sz w:val="28"/>
          <w:szCs w:val="28"/>
          <w:lang w:val="uk-UA"/>
        </w:rPr>
      </w:pPr>
    </w:p>
    <w:p w:rsidR="00506D36" w:rsidRPr="00214587" w:rsidRDefault="0052237C" w:rsidP="0052237C">
      <w:pPr>
        <w:pStyle w:val="a4"/>
        <w:rPr>
          <w:rStyle w:val="af"/>
          <w:rFonts w:eastAsiaTheme="majorEastAsia"/>
          <w:lang w:val="uk-UA"/>
        </w:rPr>
      </w:pPr>
      <w:r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 xml:space="preserve">         </w:t>
      </w:r>
      <w:r w:rsidR="00506D36"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>19 червня 2018 року</w:t>
      </w:r>
      <w:r w:rsidR="00506D36" w:rsidRPr="00214587">
        <w:rPr>
          <w:rStyle w:val="af"/>
          <w:rFonts w:eastAsiaTheme="majorEastAsia"/>
          <w:b/>
          <w:bCs/>
          <w:sz w:val="28"/>
          <w:szCs w:val="28"/>
        </w:rPr>
        <w:t>            </w:t>
      </w:r>
      <w:r w:rsidRPr="00214587">
        <w:rPr>
          <w:rStyle w:val="af"/>
          <w:rFonts w:eastAsiaTheme="majorEastAsia"/>
          <w:b/>
          <w:bCs/>
          <w:sz w:val="28"/>
          <w:szCs w:val="28"/>
        </w:rPr>
        <w:t>                          </w:t>
      </w:r>
      <w:r w:rsidR="00506D36" w:rsidRPr="00214587">
        <w:rPr>
          <w:rStyle w:val="af"/>
          <w:rFonts w:eastAsiaTheme="majorEastAsia"/>
          <w:b/>
          <w:bCs/>
          <w:sz w:val="28"/>
          <w:szCs w:val="28"/>
        </w:rPr>
        <w:t>        </w:t>
      </w:r>
      <w:r w:rsidR="00506D36"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 xml:space="preserve">         </w:t>
      </w:r>
      <w:r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 xml:space="preserve">                                            </w:t>
      </w:r>
      <w:r w:rsidR="00506D36"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>м.</w:t>
      </w:r>
      <w:r w:rsidR="007307E8"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 xml:space="preserve"> </w:t>
      </w:r>
      <w:r w:rsidR="00506D36" w:rsidRPr="00214587">
        <w:rPr>
          <w:rStyle w:val="af"/>
          <w:rFonts w:eastAsiaTheme="majorEastAsia"/>
          <w:b/>
          <w:bCs/>
          <w:sz w:val="28"/>
          <w:szCs w:val="28"/>
          <w:lang w:val="uk-UA"/>
        </w:rPr>
        <w:t>Київ</w:t>
      </w:r>
    </w:p>
    <w:p w:rsidR="00506D36" w:rsidRPr="00214587" w:rsidRDefault="00506D36" w:rsidP="0052237C">
      <w:pPr>
        <w:pStyle w:val="a4"/>
        <w:ind w:left="567" w:firstLine="851"/>
        <w:jc w:val="center"/>
        <w:rPr>
          <w:lang w:val="uk-UA"/>
        </w:rPr>
      </w:pPr>
    </w:p>
    <w:p w:rsidR="004832BF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Ми, учасники Всеукраїнської акції протесту, представники усіх регіонів України, змушені констатувати</w:t>
      </w:r>
      <w:r w:rsidR="0003266F" w:rsidRPr="00214587">
        <w:rPr>
          <w:sz w:val="26"/>
          <w:szCs w:val="26"/>
          <w:lang w:val="uk-UA"/>
        </w:rPr>
        <w:t xml:space="preserve">, що </w:t>
      </w:r>
      <w:r w:rsidRPr="00214587">
        <w:rPr>
          <w:sz w:val="26"/>
          <w:szCs w:val="26"/>
          <w:lang w:val="uk-UA"/>
        </w:rPr>
        <w:t xml:space="preserve"> </w:t>
      </w:r>
      <w:r w:rsidR="0003266F" w:rsidRPr="00214587">
        <w:rPr>
          <w:sz w:val="26"/>
          <w:szCs w:val="26"/>
          <w:lang w:val="uk-UA"/>
        </w:rPr>
        <w:t>органами державної влади свідомо</w:t>
      </w:r>
      <w:r w:rsidRPr="00214587">
        <w:rPr>
          <w:sz w:val="26"/>
          <w:szCs w:val="26"/>
          <w:lang w:val="uk-UA"/>
        </w:rPr>
        <w:t xml:space="preserve"> </w:t>
      </w:r>
      <w:r w:rsidR="0003266F" w:rsidRPr="00214587">
        <w:rPr>
          <w:sz w:val="26"/>
          <w:szCs w:val="26"/>
          <w:lang w:val="uk-UA"/>
        </w:rPr>
        <w:t>блокуються</w:t>
      </w:r>
      <w:r w:rsidRPr="00214587">
        <w:rPr>
          <w:sz w:val="26"/>
          <w:szCs w:val="26"/>
          <w:lang w:val="uk-UA"/>
        </w:rPr>
        <w:t xml:space="preserve"> ініціатив</w:t>
      </w:r>
      <w:r w:rsidR="0003266F" w:rsidRPr="00214587">
        <w:rPr>
          <w:sz w:val="26"/>
          <w:szCs w:val="26"/>
          <w:lang w:val="uk-UA"/>
        </w:rPr>
        <w:t>и</w:t>
      </w:r>
      <w:r w:rsidRPr="00214587">
        <w:rPr>
          <w:sz w:val="26"/>
          <w:szCs w:val="26"/>
          <w:lang w:val="uk-UA"/>
        </w:rPr>
        <w:t xml:space="preserve"> і вимог</w:t>
      </w:r>
      <w:r w:rsidR="0003266F" w:rsidRPr="00214587">
        <w:rPr>
          <w:sz w:val="26"/>
          <w:szCs w:val="26"/>
          <w:lang w:val="uk-UA"/>
        </w:rPr>
        <w:t>и</w:t>
      </w:r>
      <w:r w:rsidRPr="00214587">
        <w:rPr>
          <w:sz w:val="26"/>
          <w:szCs w:val="26"/>
          <w:lang w:val="uk-UA"/>
        </w:rPr>
        <w:t xml:space="preserve"> чорнобильців щодо поновлення соціальних гарантій Героїв-ліквідаторів та потерпілих внаслідок Чорнобильської катастрофи. </w:t>
      </w:r>
    </w:p>
    <w:p w:rsidR="004832BF" w:rsidRPr="00214587" w:rsidRDefault="00506D36" w:rsidP="0003266F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Урядом України не прийнято жодного конкретного рішення</w:t>
      </w:r>
      <w:r w:rsidR="0052237C" w:rsidRPr="00214587">
        <w:rPr>
          <w:sz w:val="26"/>
          <w:szCs w:val="26"/>
          <w:lang w:val="uk-UA"/>
        </w:rPr>
        <w:t xml:space="preserve"> на виконання Резолюції</w:t>
      </w:r>
      <w:r w:rsidRPr="00214587">
        <w:rPr>
          <w:sz w:val="26"/>
          <w:szCs w:val="26"/>
          <w:lang w:val="uk-UA"/>
        </w:rPr>
        <w:t xml:space="preserve"> </w:t>
      </w:r>
      <w:r w:rsidR="004832BF" w:rsidRPr="00214587">
        <w:rPr>
          <w:sz w:val="26"/>
          <w:szCs w:val="26"/>
          <w:lang w:val="uk-UA"/>
        </w:rPr>
        <w:t xml:space="preserve">попередньої </w:t>
      </w:r>
      <w:r w:rsidRPr="00214587">
        <w:rPr>
          <w:sz w:val="26"/>
          <w:szCs w:val="26"/>
          <w:lang w:val="uk-UA"/>
        </w:rPr>
        <w:t xml:space="preserve">Всеукраїнської акції протесту чорнобильців  </w:t>
      </w:r>
      <w:r w:rsidR="004832BF" w:rsidRPr="00214587">
        <w:rPr>
          <w:sz w:val="26"/>
          <w:szCs w:val="26"/>
          <w:lang w:val="uk-UA"/>
        </w:rPr>
        <w:t xml:space="preserve">- </w:t>
      </w:r>
      <w:r w:rsidRPr="00214587">
        <w:rPr>
          <w:sz w:val="26"/>
          <w:szCs w:val="26"/>
          <w:lang w:val="uk-UA"/>
        </w:rPr>
        <w:t>від 23 травня 2017 року.</w:t>
      </w:r>
      <w:r w:rsidR="004832BF" w:rsidRPr="00214587">
        <w:rPr>
          <w:sz w:val="26"/>
          <w:szCs w:val="26"/>
          <w:lang w:val="uk-UA"/>
        </w:rPr>
        <w:t xml:space="preserve"> Так</w:t>
      </w:r>
      <w:r w:rsidR="0003266F" w:rsidRPr="00214587">
        <w:rPr>
          <w:sz w:val="26"/>
          <w:szCs w:val="26"/>
          <w:lang w:val="uk-UA"/>
        </w:rPr>
        <w:t>,</w:t>
      </w:r>
      <w:r w:rsidR="004832BF" w:rsidRPr="00214587">
        <w:rPr>
          <w:sz w:val="26"/>
          <w:szCs w:val="26"/>
          <w:lang w:val="uk-UA"/>
        </w:rPr>
        <w:t xml:space="preserve"> д</w:t>
      </w:r>
      <w:r w:rsidRPr="00214587">
        <w:rPr>
          <w:sz w:val="26"/>
          <w:szCs w:val="26"/>
          <w:lang w:val="uk-UA"/>
        </w:rPr>
        <w:t xml:space="preserve">о цього часу не </w:t>
      </w:r>
      <w:r w:rsidR="00A3216F" w:rsidRPr="00214587">
        <w:rPr>
          <w:sz w:val="26"/>
          <w:szCs w:val="26"/>
          <w:lang w:val="uk-UA"/>
        </w:rPr>
        <w:t>реалізовано доруч</w:t>
      </w:r>
      <w:r w:rsidR="004832BF" w:rsidRPr="00214587">
        <w:rPr>
          <w:sz w:val="26"/>
          <w:szCs w:val="26"/>
          <w:lang w:val="uk-UA"/>
        </w:rPr>
        <w:t>ення</w:t>
      </w:r>
      <w:r w:rsidRPr="00214587">
        <w:rPr>
          <w:sz w:val="26"/>
          <w:szCs w:val="26"/>
          <w:lang w:val="uk-UA"/>
        </w:rPr>
        <w:t xml:space="preserve"> Верховної Ради України стосовно надання висновків до законопроектів №4442, 4442-1.</w:t>
      </w:r>
      <w:r w:rsidR="0003266F" w:rsidRPr="00214587">
        <w:rPr>
          <w:sz w:val="26"/>
          <w:szCs w:val="26"/>
          <w:lang w:val="uk-UA"/>
        </w:rPr>
        <w:t xml:space="preserve"> </w:t>
      </w:r>
      <w:r w:rsidRPr="00214587">
        <w:rPr>
          <w:sz w:val="26"/>
          <w:szCs w:val="26"/>
          <w:lang w:val="uk-UA"/>
        </w:rPr>
        <w:t xml:space="preserve">Керівництвом Міністерства соціальної політики не </w:t>
      </w:r>
      <w:r w:rsidR="004832BF" w:rsidRPr="00214587">
        <w:rPr>
          <w:sz w:val="26"/>
          <w:szCs w:val="26"/>
          <w:lang w:val="uk-UA"/>
        </w:rPr>
        <w:t>вне</w:t>
      </w:r>
      <w:r w:rsidR="0003266F" w:rsidRPr="00214587">
        <w:rPr>
          <w:sz w:val="26"/>
          <w:szCs w:val="26"/>
          <w:lang w:val="uk-UA"/>
        </w:rPr>
        <w:t>сений на засідання</w:t>
      </w:r>
      <w:r w:rsidR="004832BF" w:rsidRPr="00214587">
        <w:rPr>
          <w:sz w:val="26"/>
          <w:szCs w:val="26"/>
          <w:lang w:val="uk-UA"/>
        </w:rPr>
        <w:t xml:space="preserve"> Уряду проект</w:t>
      </w:r>
      <w:r w:rsidRPr="00214587">
        <w:rPr>
          <w:sz w:val="26"/>
          <w:szCs w:val="26"/>
          <w:lang w:val="uk-UA"/>
        </w:rPr>
        <w:t xml:space="preserve"> постанови Кабінету Міністрів України</w:t>
      </w:r>
      <w:r w:rsidR="004832BF" w:rsidRPr="00214587">
        <w:rPr>
          <w:sz w:val="26"/>
          <w:szCs w:val="26"/>
          <w:lang w:val="uk-UA"/>
        </w:rPr>
        <w:t>, ініційований громадськими чорнобильськими організаціями,</w:t>
      </w:r>
      <w:r w:rsidRPr="00214587">
        <w:rPr>
          <w:sz w:val="26"/>
          <w:szCs w:val="26"/>
          <w:lang w:val="uk-UA"/>
        </w:rPr>
        <w:t xml:space="preserve"> щодо поліпшення пенсійного забезпечення інвалідів, ліквідаторів, інших категорій постраждалих. </w:t>
      </w:r>
      <w:r w:rsidR="004832BF" w:rsidRPr="00214587">
        <w:rPr>
          <w:sz w:val="26"/>
          <w:szCs w:val="26"/>
          <w:lang w:val="uk-UA"/>
        </w:rPr>
        <w:t>До Верховної Р</w:t>
      </w:r>
      <w:r w:rsidRPr="00214587">
        <w:rPr>
          <w:sz w:val="26"/>
          <w:szCs w:val="26"/>
          <w:lang w:val="uk-UA"/>
        </w:rPr>
        <w:t>ади України не внесені</w:t>
      </w:r>
      <w:r w:rsidR="004832BF" w:rsidRPr="00214587">
        <w:rPr>
          <w:sz w:val="26"/>
          <w:szCs w:val="26"/>
          <w:lang w:val="uk-UA"/>
        </w:rPr>
        <w:t xml:space="preserve"> законопроекти щодо по</w:t>
      </w:r>
      <w:r w:rsidRPr="00214587">
        <w:rPr>
          <w:sz w:val="26"/>
          <w:szCs w:val="26"/>
          <w:lang w:val="uk-UA"/>
        </w:rPr>
        <w:t xml:space="preserve">новлення </w:t>
      </w:r>
      <w:r w:rsidR="004832BF" w:rsidRPr="00214587">
        <w:rPr>
          <w:sz w:val="26"/>
          <w:szCs w:val="26"/>
          <w:lang w:val="uk-UA"/>
        </w:rPr>
        <w:t xml:space="preserve">у </w:t>
      </w:r>
      <w:r w:rsidRPr="00214587">
        <w:rPr>
          <w:sz w:val="26"/>
          <w:szCs w:val="26"/>
          <w:lang w:val="uk-UA"/>
        </w:rPr>
        <w:t>повному обсязі життєво важливої для чорнобильців бюджетної програми</w:t>
      </w:r>
      <w:r w:rsidRPr="00214587">
        <w:rPr>
          <w:sz w:val="26"/>
          <w:szCs w:val="26"/>
        </w:rPr>
        <w:t> </w:t>
      </w:r>
      <w:r w:rsidRPr="00214587">
        <w:rPr>
          <w:sz w:val="26"/>
          <w:szCs w:val="26"/>
          <w:lang w:val="uk-UA"/>
        </w:rPr>
        <w:t xml:space="preserve"> </w:t>
      </w:r>
      <w:r w:rsidR="004832BF" w:rsidRPr="00214587">
        <w:rPr>
          <w:sz w:val="26"/>
          <w:szCs w:val="26"/>
          <w:lang w:val="uk-UA"/>
        </w:rPr>
        <w:t>к</w:t>
      </w:r>
      <w:r w:rsidRPr="00214587">
        <w:rPr>
          <w:sz w:val="26"/>
          <w:szCs w:val="26"/>
          <w:lang w:val="uk-UA"/>
        </w:rPr>
        <w:t xml:space="preserve">омплексного медико-санітарного забезпечення </w:t>
      </w:r>
      <w:r w:rsidRPr="00214587">
        <w:rPr>
          <w:sz w:val="26"/>
          <w:szCs w:val="26"/>
        </w:rPr>
        <w:t> </w:t>
      </w:r>
      <w:r w:rsidRPr="00214587">
        <w:rPr>
          <w:sz w:val="26"/>
          <w:szCs w:val="26"/>
          <w:lang w:val="uk-UA"/>
        </w:rPr>
        <w:t xml:space="preserve">та лікування важкохворих, а також   програми забезпечення чорнобильців житлом. </w:t>
      </w:r>
    </w:p>
    <w:p w:rsidR="00506D36" w:rsidRPr="00214587" w:rsidRDefault="004832BF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В порушення вимог Конституції України та Європейської конвенції про захист прав людини і основоположних свобод не виконуються рішення національних судів і Європейського Суду з прав людини</w:t>
      </w:r>
      <w:r w:rsidR="0003266F" w:rsidRPr="00214587">
        <w:rPr>
          <w:sz w:val="26"/>
          <w:szCs w:val="26"/>
          <w:lang w:val="uk-UA"/>
        </w:rPr>
        <w:t>, прийняті</w:t>
      </w:r>
      <w:r w:rsidRPr="00214587">
        <w:rPr>
          <w:sz w:val="26"/>
          <w:szCs w:val="26"/>
          <w:lang w:val="uk-UA"/>
        </w:rPr>
        <w:t xml:space="preserve"> за позовами</w:t>
      </w:r>
      <w:r w:rsidR="00506D36" w:rsidRPr="00214587">
        <w:rPr>
          <w:sz w:val="26"/>
          <w:szCs w:val="26"/>
          <w:lang w:val="uk-UA"/>
        </w:rPr>
        <w:t xml:space="preserve"> </w:t>
      </w:r>
      <w:r w:rsidRPr="00214587">
        <w:rPr>
          <w:sz w:val="26"/>
          <w:szCs w:val="26"/>
          <w:lang w:val="uk-UA"/>
        </w:rPr>
        <w:t>українських чорнобильців.</w:t>
      </w:r>
    </w:p>
    <w:p w:rsidR="00506D36" w:rsidRPr="00214587" w:rsidRDefault="004832BF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 xml:space="preserve"> </w:t>
      </w:r>
    </w:p>
    <w:p w:rsidR="00506D36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b/>
          <w:sz w:val="26"/>
          <w:szCs w:val="26"/>
          <w:lang w:val="uk-UA"/>
        </w:rPr>
        <w:t>Разом з ветеранами</w:t>
      </w:r>
      <w:r w:rsidR="0003266F" w:rsidRPr="00214587">
        <w:rPr>
          <w:b/>
          <w:sz w:val="26"/>
          <w:szCs w:val="26"/>
          <w:lang w:val="uk-UA"/>
        </w:rPr>
        <w:t>-афганцями</w:t>
      </w:r>
      <w:r w:rsidRPr="00214587">
        <w:rPr>
          <w:b/>
          <w:sz w:val="26"/>
          <w:szCs w:val="26"/>
          <w:lang w:val="uk-UA"/>
        </w:rPr>
        <w:t xml:space="preserve"> заявляємо, що </w:t>
      </w:r>
      <w:r w:rsidR="005411EA" w:rsidRPr="00214587">
        <w:rPr>
          <w:b/>
          <w:sz w:val="26"/>
          <w:szCs w:val="26"/>
          <w:lang w:val="uk-UA"/>
        </w:rPr>
        <w:t xml:space="preserve">чорнобильці </w:t>
      </w:r>
      <w:r w:rsidRPr="00214587">
        <w:rPr>
          <w:b/>
          <w:sz w:val="26"/>
          <w:szCs w:val="26"/>
          <w:lang w:val="uk-UA"/>
        </w:rPr>
        <w:t xml:space="preserve">не </w:t>
      </w:r>
      <w:r w:rsidR="005411EA" w:rsidRPr="00214587">
        <w:rPr>
          <w:b/>
          <w:sz w:val="26"/>
          <w:szCs w:val="26"/>
          <w:lang w:val="uk-UA"/>
        </w:rPr>
        <w:t>можуть</w:t>
      </w:r>
      <w:r w:rsidR="004832BF" w:rsidRPr="00214587">
        <w:rPr>
          <w:b/>
          <w:sz w:val="26"/>
          <w:szCs w:val="26"/>
          <w:lang w:val="uk-UA"/>
        </w:rPr>
        <w:t xml:space="preserve"> і не </w:t>
      </w:r>
      <w:r w:rsidR="005411EA" w:rsidRPr="00214587">
        <w:rPr>
          <w:b/>
          <w:sz w:val="26"/>
          <w:szCs w:val="26"/>
          <w:lang w:val="uk-UA"/>
        </w:rPr>
        <w:t>будуть</w:t>
      </w:r>
      <w:r w:rsidRPr="00214587">
        <w:rPr>
          <w:b/>
          <w:sz w:val="26"/>
          <w:szCs w:val="26"/>
          <w:lang w:val="uk-UA"/>
        </w:rPr>
        <w:t xml:space="preserve"> надалі терпіти</w:t>
      </w:r>
      <w:r w:rsidR="00E26691" w:rsidRPr="00214587">
        <w:rPr>
          <w:b/>
          <w:sz w:val="26"/>
          <w:szCs w:val="26"/>
          <w:lang w:val="uk-UA"/>
        </w:rPr>
        <w:t xml:space="preserve"> злочинну </w:t>
      </w:r>
      <w:r w:rsidRPr="00214587">
        <w:rPr>
          <w:b/>
          <w:sz w:val="26"/>
          <w:szCs w:val="26"/>
          <w:lang w:val="uk-UA"/>
        </w:rPr>
        <w:t xml:space="preserve">бездіяльність влади у </w:t>
      </w:r>
      <w:r w:rsidR="004832BF" w:rsidRPr="00214587">
        <w:rPr>
          <w:b/>
          <w:sz w:val="26"/>
          <w:szCs w:val="26"/>
          <w:lang w:val="uk-UA"/>
        </w:rPr>
        <w:t>питаннях поновлення</w:t>
      </w:r>
      <w:r w:rsidR="005411EA" w:rsidRPr="00214587">
        <w:rPr>
          <w:b/>
          <w:sz w:val="26"/>
          <w:szCs w:val="26"/>
          <w:lang w:val="uk-UA"/>
        </w:rPr>
        <w:t xml:space="preserve"> законних прав </w:t>
      </w:r>
      <w:r w:rsidRPr="00214587">
        <w:rPr>
          <w:b/>
          <w:sz w:val="26"/>
          <w:szCs w:val="26"/>
          <w:lang w:val="uk-UA"/>
        </w:rPr>
        <w:t>Героїв-ліквідаторів, потерпілих внаслідок Чорнобильської катастрофи, учасників</w:t>
      </w:r>
      <w:r w:rsidR="00E26691" w:rsidRPr="00214587">
        <w:rPr>
          <w:b/>
          <w:sz w:val="26"/>
          <w:szCs w:val="26"/>
          <w:lang w:val="uk-UA"/>
        </w:rPr>
        <w:t xml:space="preserve"> </w:t>
      </w:r>
      <w:r w:rsidR="004832BF" w:rsidRPr="00214587">
        <w:rPr>
          <w:b/>
          <w:sz w:val="26"/>
          <w:szCs w:val="26"/>
          <w:lang w:val="uk-UA"/>
        </w:rPr>
        <w:t>війни</w:t>
      </w:r>
      <w:r w:rsidR="00E26691" w:rsidRPr="00214587">
        <w:rPr>
          <w:b/>
          <w:sz w:val="26"/>
          <w:szCs w:val="26"/>
          <w:lang w:val="uk-UA"/>
        </w:rPr>
        <w:t xml:space="preserve">, воїнів-інтернаціоналістів.  </w:t>
      </w:r>
    </w:p>
    <w:p w:rsidR="00506D36" w:rsidRPr="00214587" w:rsidRDefault="0003266F" w:rsidP="0052237C">
      <w:pPr>
        <w:pStyle w:val="a4"/>
        <w:ind w:left="567" w:firstLine="851"/>
        <w:jc w:val="both"/>
        <w:rPr>
          <w:b/>
          <w:sz w:val="26"/>
          <w:szCs w:val="26"/>
          <w:lang w:val="uk-UA"/>
        </w:rPr>
      </w:pPr>
      <w:r w:rsidRPr="00214587">
        <w:rPr>
          <w:rStyle w:val="ac"/>
          <w:sz w:val="26"/>
          <w:szCs w:val="26"/>
          <w:lang w:val="uk-UA"/>
        </w:rPr>
        <w:t>Н</w:t>
      </w:r>
      <w:r w:rsidR="00E26691" w:rsidRPr="00214587">
        <w:rPr>
          <w:rStyle w:val="ac"/>
          <w:sz w:val="26"/>
          <w:szCs w:val="26"/>
          <w:lang w:val="uk-UA"/>
        </w:rPr>
        <w:t>аполя</w:t>
      </w:r>
      <w:r w:rsidR="00506D36" w:rsidRPr="00214587">
        <w:rPr>
          <w:rStyle w:val="ac"/>
          <w:sz w:val="26"/>
          <w:szCs w:val="26"/>
          <w:lang w:val="uk-UA"/>
        </w:rPr>
        <w:t>гаємо</w:t>
      </w:r>
      <w:r w:rsidR="00E26691" w:rsidRPr="00214587">
        <w:rPr>
          <w:sz w:val="26"/>
          <w:szCs w:val="26"/>
          <w:lang w:val="uk-UA"/>
        </w:rPr>
        <w:t xml:space="preserve"> </w:t>
      </w:r>
      <w:r w:rsidR="00E26691" w:rsidRPr="00214587">
        <w:rPr>
          <w:b/>
          <w:sz w:val="26"/>
          <w:szCs w:val="26"/>
          <w:lang w:val="uk-UA"/>
        </w:rPr>
        <w:t xml:space="preserve">на безумовному виконанні </w:t>
      </w:r>
      <w:r w:rsidR="004832BF" w:rsidRPr="00214587">
        <w:rPr>
          <w:b/>
          <w:sz w:val="26"/>
          <w:szCs w:val="26"/>
          <w:lang w:val="uk-UA"/>
        </w:rPr>
        <w:t xml:space="preserve">органами влади </w:t>
      </w:r>
      <w:r w:rsidR="00E26691" w:rsidRPr="00214587">
        <w:rPr>
          <w:b/>
          <w:sz w:val="26"/>
          <w:szCs w:val="26"/>
          <w:lang w:val="uk-UA"/>
        </w:rPr>
        <w:t xml:space="preserve">усіх вимог </w:t>
      </w:r>
      <w:r w:rsidR="004832BF" w:rsidRPr="00214587">
        <w:rPr>
          <w:b/>
          <w:sz w:val="26"/>
          <w:szCs w:val="26"/>
          <w:lang w:val="uk-UA"/>
        </w:rPr>
        <w:t>«</w:t>
      </w:r>
      <w:r w:rsidR="00E26691" w:rsidRPr="00214587">
        <w:rPr>
          <w:b/>
          <w:sz w:val="26"/>
          <w:szCs w:val="26"/>
          <w:lang w:val="uk-UA"/>
        </w:rPr>
        <w:t>Резолюції Всеукраїнської акції протесту у боротьбі за поновлення належного пенсійного забезпечення і соціального захисту чорнобильців</w:t>
      </w:r>
      <w:r w:rsidR="004832BF" w:rsidRPr="00214587">
        <w:rPr>
          <w:b/>
          <w:sz w:val="26"/>
          <w:szCs w:val="26"/>
          <w:lang w:val="uk-UA"/>
        </w:rPr>
        <w:t>»</w:t>
      </w:r>
      <w:r w:rsidR="00E26691" w:rsidRPr="00214587">
        <w:rPr>
          <w:b/>
          <w:sz w:val="26"/>
          <w:szCs w:val="26"/>
          <w:lang w:val="uk-UA"/>
        </w:rPr>
        <w:t xml:space="preserve"> від 23 травня 2018 року</w:t>
      </w:r>
      <w:r w:rsidR="004832BF" w:rsidRPr="00214587">
        <w:rPr>
          <w:b/>
          <w:sz w:val="26"/>
          <w:szCs w:val="26"/>
          <w:lang w:val="uk-UA"/>
        </w:rPr>
        <w:t>.</w:t>
      </w:r>
    </w:p>
    <w:p w:rsidR="004832BF" w:rsidRPr="00214587" w:rsidRDefault="004832BF" w:rsidP="0052237C">
      <w:pPr>
        <w:pStyle w:val="a4"/>
        <w:ind w:left="567" w:firstLine="851"/>
        <w:jc w:val="both"/>
        <w:rPr>
          <w:b/>
          <w:sz w:val="26"/>
          <w:szCs w:val="26"/>
          <w:lang w:val="uk-UA"/>
        </w:rPr>
      </w:pPr>
    </w:p>
    <w:p w:rsidR="00506D36" w:rsidRPr="00214587" w:rsidRDefault="0003266F" w:rsidP="0003266F">
      <w:pPr>
        <w:pStyle w:val="a4"/>
        <w:ind w:left="567" w:firstLine="851"/>
        <w:jc w:val="both"/>
        <w:rPr>
          <w:b/>
          <w:sz w:val="26"/>
          <w:szCs w:val="26"/>
          <w:lang w:val="uk-UA"/>
        </w:rPr>
      </w:pPr>
      <w:r w:rsidRPr="00214587">
        <w:rPr>
          <w:b/>
          <w:sz w:val="26"/>
          <w:szCs w:val="26"/>
          <w:lang w:val="uk-UA"/>
        </w:rPr>
        <w:t xml:space="preserve"> Досить годувати людей бюрократичними відписками та обіцянками! </w:t>
      </w:r>
      <w:r w:rsidR="004832BF" w:rsidRPr="00214587">
        <w:rPr>
          <w:b/>
          <w:sz w:val="26"/>
          <w:szCs w:val="26"/>
          <w:lang w:val="uk-UA"/>
        </w:rPr>
        <w:t>Вимагаємо від органів влади конкретних рішень, а саме:</w:t>
      </w:r>
    </w:p>
    <w:p w:rsidR="00A3216F" w:rsidRPr="00214587" w:rsidRDefault="00A3216F" w:rsidP="0052237C">
      <w:pPr>
        <w:pStyle w:val="a4"/>
        <w:ind w:left="567" w:firstLine="851"/>
        <w:jc w:val="both"/>
        <w:rPr>
          <w:b/>
          <w:sz w:val="26"/>
          <w:szCs w:val="26"/>
          <w:lang w:val="uk-UA"/>
        </w:rPr>
      </w:pPr>
    </w:p>
    <w:p w:rsidR="00506D36" w:rsidRPr="00214587" w:rsidRDefault="00E26691" w:rsidP="000D113D">
      <w:pPr>
        <w:pStyle w:val="a4"/>
        <w:numPr>
          <w:ilvl w:val="0"/>
          <w:numId w:val="8"/>
        </w:numPr>
        <w:jc w:val="both"/>
        <w:rPr>
          <w:rStyle w:val="ac"/>
          <w:b w:val="0"/>
          <w:bCs w:val="0"/>
        </w:rPr>
      </w:pPr>
      <w:r w:rsidRPr="00214587">
        <w:rPr>
          <w:rStyle w:val="ac"/>
          <w:sz w:val="26"/>
          <w:szCs w:val="26"/>
          <w:lang w:val="uk-UA"/>
        </w:rPr>
        <w:t>Президенту</w:t>
      </w:r>
      <w:r w:rsidR="0052237C" w:rsidRPr="00214587">
        <w:rPr>
          <w:rStyle w:val="ac"/>
          <w:sz w:val="26"/>
          <w:szCs w:val="26"/>
          <w:lang w:val="uk-UA"/>
        </w:rPr>
        <w:t xml:space="preserve"> України, як гаранту</w:t>
      </w:r>
      <w:r w:rsidR="00506D36" w:rsidRPr="00214587">
        <w:rPr>
          <w:rStyle w:val="ac"/>
          <w:sz w:val="26"/>
          <w:szCs w:val="26"/>
          <w:lang w:val="uk-UA"/>
        </w:rPr>
        <w:t xml:space="preserve"> дотримання конституційних прав громадян України</w:t>
      </w:r>
    </w:p>
    <w:p w:rsidR="00506D36" w:rsidRPr="00214587" w:rsidRDefault="00E26691" w:rsidP="0052237C">
      <w:pPr>
        <w:pStyle w:val="a4"/>
        <w:numPr>
          <w:ilvl w:val="0"/>
          <w:numId w:val="7"/>
        </w:numPr>
        <w:ind w:left="567" w:firstLine="851"/>
        <w:jc w:val="both"/>
        <w:rPr>
          <w:lang w:val="uk-UA"/>
        </w:rPr>
      </w:pPr>
      <w:r w:rsidRPr="00214587">
        <w:rPr>
          <w:rStyle w:val="ac"/>
          <w:b w:val="0"/>
          <w:sz w:val="26"/>
          <w:szCs w:val="26"/>
          <w:lang w:val="uk-UA"/>
        </w:rPr>
        <w:t>змусити Кабінет Міністрів України</w:t>
      </w:r>
      <w:r w:rsidRPr="00214587">
        <w:rPr>
          <w:rStyle w:val="ac"/>
          <w:b w:val="0"/>
          <w:bCs w:val="0"/>
          <w:lang w:val="uk-UA"/>
        </w:rPr>
        <w:t xml:space="preserve"> </w:t>
      </w:r>
      <w:r w:rsidR="00506D36" w:rsidRPr="00214587">
        <w:rPr>
          <w:sz w:val="26"/>
          <w:szCs w:val="26"/>
          <w:lang w:val="uk-UA"/>
        </w:rPr>
        <w:t xml:space="preserve">вжити  </w:t>
      </w:r>
      <w:r w:rsidR="0052237C" w:rsidRPr="00214587">
        <w:rPr>
          <w:sz w:val="26"/>
          <w:szCs w:val="26"/>
          <w:lang w:val="uk-UA"/>
        </w:rPr>
        <w:t>не</w:t>
      </w:r>
      <w:r w:rsidRPr="00214587">
        <w:rPr>
          <w:sz w:val="26"/>
          <w:szCs w:val="26"/>
          <w:lang w:val="uk-UA"/>
        </w:rPr>
        <w:t>відкладних</w:t>
      </w:r>
      <w:r w:rsidR="00506D36" w:rsidRPr="00214587">
        <w:rPr>
          <w:sz w:val="26"/>
          <w:szCs w:val="26"/>
          <w:lang w:val="uk-UA"/>
        </w:rPr>
        <w:t xml:space="preserve"> заходів  щодо  безумовного  виконання  норм Конституції України, рішень національних судів і Європейського Суду з прав людини, при</w:t>
      </w:r>
      <w:r w:rsidR="0082705E" w:rsidRPr="00214587">
        <w:rPr>
          <w:sz w:val="26"/>
          <w:szCs w:val="26"/>
          <w:lang w:val="uk-UA"/>
        </w:rPr>
        <w:t>йнятих за позовами чорнобильців;</w:t>
      </w:r>
      <w:r w:rsidR="00506D36" w:rsidRPr="00214587">
        <w:rPr>
          <w:sz w:val="26"/>
          <w:szCs w:val="26"/>
          <w:lang w:val="uk-UA"/>
        </w:rPr>
        <w:t xml:space="preserve"> </w:t>
      </w:r>
      <w:r w:rsidR="005411EA" w:rsidRPr="00214587">
        <w:rPr>
          <w:sz w:val="26"/>
          <w:szCs w:val="26"/>
          <w:lang w:val="uk-UA"/>
        </w:rPr>
        <w:t>виконати нарешті доручення Президента України від 23 травня 2017 року щодо поліпшення пенсійного забезпе</w:t>
      </w:r>
      <w:r w:rsidR="0082705E" w:rsidRPr="00214587">
        <w:rPr>
          <w:sz w:val="26"/>
          <w:szCs w:val="26"/>
          <w:lang w:val="uk-UA"/>
        </w:rPr>
        <w:t>чення ліквідаторів і потерпілих;</w:t>
      </w:r>
      <w:r w:rsidR="005411EA" w:rsidRPr="00214587">
        <w:rPr>
          <w:sz w:val="26"/>
          <w:szCs w:val="26"/>
          <w:lang w:val="uk-UA"/>
        </w:rPr>
        <w:t xml:space="preserve"> </w:t>
      </w:r>
      <w:r w:rsidRPr="00214587">
        <w:rPr>
          <w:sz w:val="26"/>
          <w:szCs w:val="26"/>
          <w:lang w:val="uk-UA"/>
        </w:rPr>
        <w:t>надати позитивний висновок до законопроектів №№4442, 4442-1 та інших законопроектів</w:t>
      </w:r>
      <w:r w:rsidR="00506D36" w:rsidRPr="00214587">
        <w:rPr>
          <w:sz w:val="26"/>
          <w:szCs w:val="26"/>
          <w:lang w:val="uk-UA"/>
        </w:rPr>
        <w:t xml:space="preserve">, якими поетапно поновлюється право чорнобильців на належне пенсійне забезпечення.  </w:t>
      </w:r>
    </w:p>
    <w:p w:rsidR="00506D36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</w:p>
    <w:p w:rsidR="00506D36" w:rsidRPr="00214587" w:rsidRDefault="00E26691" w:rsidP="000D113D">
      <w:pPr>
        <w:pStyle w:val="a4"/>
        <w:numPr>
          <w:ilvl w:val="0"/>
          <w:numId w:val="8"/>
        </w:numPr>
        <w:jc w:val="both"/>
        <w:rPr>
          <w:b/>
          <w:sz w:val="26"/>
          <w:szCs w:val="26"/>
          <w:lang w:val="uk-UA"/>
        </w:rPr>
      </w:pPr>
      <w:r w:rsidRPr="00214587">
        <w:rPr>
          <w:b/>
          <w:sz w:val="26"/>
          <w:szCs w:val="26"/>
          <w:lang w:val="uk-UA"/>
        </w:rPr>
        <w:t>Верховній Раді України</w:t>
      </w:r>
    </w:p>
    <w:p w:rsidR="00506D36" w:rsidRPr="00214587" w:rsidRDefault="00E26691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- забезпечити виконання власного ріше</w:t>
      </w:r>
      <w:r w:rsidR="0082705E" w:rsidRPr="00214587">
        <w:rPr>
          <w:sz w:val="26"/>
          <w:szCs w:val="26"/>
          <w:lang w:val="uk-UA"/>
        </w:rPr>
        <w:t>ння щодо доопрацювання</w:t>
      </w:r>
      <w:r w:rsidRPr="00214587">
        <w:rPr>
          <w:sz w:val="26"/>
          <w:szCs w:val="26"/>
          <w:lang w:val="uk-UA"/>
        </w:rPr>
        <w:t xml:space="preserve"> та прийняття</w:t>
      </w:r>
      <w:r w:rsidR="00506D36" w:rsidRPr="00214587">
        <w:rPr>
          <w:sz w:val="26"/>
          <w:szCs w:val="26"/>
          <w:lang w:val="uk-UA"/>
        </w:rPr>
        <w:t xml:space="preserve"> проект</w:t>
      </w:r>
      <w:r w:rsidRPr="00214587">
        <w:rPr>
          <w:sz w:val="26"/>
          <w:szCs w:val="26"/>
          <w:lang w:val="uk-UA"/>
        </w:rPr>
        <w:t>у</w:t>
      </w:r>
      <w:r w:rsidR="00506D36" w:rsidRPr="00214587">
        <w:rPr>
          <w:sz w:val="26"/>
          <w:szCs w:val="26"/>
          <w:lang w:val="uk-UA"/>
        </w:rPr>
        <w:t xml:space="preserve"> Закону України про </w:t>
      </w:r>
      <w:r w:rsidR="004832BF" w:rsidRPr="00214587">
        <w:rPr>
          <w:sz w:val="26"/>
          <w:szCs w:val="26"/>
          <w:lang w:val="uk-UA"/>
        </w:rPr>
        <w:t>поновлення належного</w:t>
      </w:r>
      <w:r w:rsidR="00506D36" w:rsidRPr="00214587">
        <w:rPr>
          <w:sz w:val="26"/>
          <w:szCs w:val="26"/>
          <w:lang w:val="uk-UA"/>
        </w:rPr>
        <w:t xml:space="preserve"> пенсійного забезпечення </w:t>
      </w:r>
      <w:r w:rsidR="004832BF" w:rsidRPr="00214587">
        <w:rPr>
          <w:sz w:val="26"/>
          <w:szCs w:val="26"/>
          <w:lang w:val="uk-UA"/>
        </w:rPr>
        <w:t xml:space="preserve"> </w:t>
      </w:r>
      <w:r w:rsidR="00506D36" w:rsidRPr="00214587">
        <w:rPr>
          <w:sz w:val="26"/>
          <w:szCs w:val="26"/>
          <w:lang w:val="uk-UA"/>
        </w:rPr>
        <w:t>чорноб</w:t>
      </w:r>
      <w:r w:rsidRPr="00214587">
        <w:rPr>
          <w:sz w:val="26"/>
          <w:szCs w:val="26"/>
          <w:lang w:val="uk-UA"/>
        </w:rPr>
        <w:t>ильців (реєстр. № 4442, 4442-1).</w:t>
      </w:r>
      <w:r w:rsidR="00506D36" w:rsidRPr="00214587">
        <w:rPr>
          <w:sz w:val="26"/>
          <w:szCs w:val="26"/>
          <w:lang w:val="uk-UA"/>
        </w:rPr>
        <w:t xml:space="preserve"> </w:t>
      </w:r>
      <w:r w:rsidRPr="00214587">
        <w:rPr>
          <w:sz w:val="26"/>
          <w:szCs w:val="26"/>
          <w:lang w:val="uk-UA"/>
        </w:rPr>
        <w:t xml:space="preserve"> </w:t>
      </w:r>
    </w:p>
    <w:p w:rsidR="00A3216F" w:rsidRPr="00214587" w:rsidRDefault="00A3216F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</w:p>
    <w:p w:rsidR="004B2D3D" w:rsidRPr="00214587" w:rsidRDefault="004B2D3D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</w:p>
    <w:p w:rsidR="004B2D3D" w:rsidRPr="00214587" w:rsidRDefault="004B2D3D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</w:p>
    <w:p w:rsidR="00506D36" w:rsidRPr="00214587" w:rsidRDefault="00506D36" w:rsidP="000D113D">
      <w:pPr>
        <w:pStyle w:val="a4"/>
        <w:numPr>
          <w:ilvl w:val="0"/>
          <w:numId w:val="8"/>
        </w:numPr>
        <w:jc w:val="both"/>
        <w:rPr>
          <w:rStyle w:val="ac"/>
          <w:sz w:val="26"/>
          <w:szCs w:val="26"/>
          <w:lang w:val="uk-UA"/>
        </w:rPr>
      </w:pPr>
      <w:r w:rsidRPr="00214587">
        <w:rPr>
          <w:rStyle w:val="ac"/>
          <w:sz w:val="26"/>
          <w:szCs w:val="26"/>
          <w:lang w:val="uk-UA"/>
        </w:rPr>
        <w:t>Кабінету Міністрів України</w:t>
      </w:r>
      <w:r w:rsidR="00E26691" w:rsidRPr="00214587">
        <w:rPr>
          <w:rStyle w:val="ac"/>
          <w:sz w:val="26"/>
          <w:szCs w:val="26"/>
          <w:lang w:val="uk-UA"/>
        </w:rPr>
        <w:t xml:space="preserve"> </w:t>
      </w:r>
    </w:p>
    <w:p w:rsidR="005411EA" w:rsidRPr="00214587" w:rsidRDefault="00E26691" w:rsidP="0003266F">
      <w:pPr>
        <w:pStyle w:val="a4"/>
        <w:ind w:left="567" w:firstLine="851"/>
        <w:jc w:val="both"/>
        <w:rPr>
          <w:rStyle w:val="ac"/>
          <w:b w:val="0"/>
          <w:sz w:val="26"/>
          <w:szCs w:val="26"/>
          <w:lang w:val="uk-UA"/>
        </w:rPr>
      </w:pPr>
      <w:r w:rsidRPr="00214587">
        <w:rPr>
          <w:rStyle w:val="ac"/>
          <w:b w:val="0"/>
          <w:sz w:val="26"/>
          <w:szCs w:val="26"/>
          <w:lang w:val="uk-UA"/>
        </w:rPr>
        <w:t xml:space="preserve">- </w:t>
      </w:r>
      <w:r w:rsidR="005411EA" w:rsidRPr="00214587">
        <w:rPr>
          <w:rStyle w:val="ac"/>
          <w:b w:val="0"/>
          <w:sz w:val="26"/>
          <w:szCs w:val="26"/>
          <w:lang w:val="uk-UA"/>
        </w:rPr>
        <w:t>звільнити Міністра соціальної політики А.Реву із займаної посади у зв’язку з тривалою бездіяльністю;</w:t>
      </w:r>
    </w:p>
    <w:p w:rsidR="005411EA" w:rsidRPr="00214587" w:rsidRDefault="005411EA" w:rsidP="0003266F">
      <w:pPr>
        <w:pStyle w:val="a4"/>
        <w:ind w:left="567" w:firstLine="851"/>
        <w:jc w:val="both"/>
        <w:rPr>
          <w:rStyle w:val="ac"/>
          <w:b w:val="0"/>
          <w:sz w:val="26"/>
          <w:szCs w:val="26"/>
          <w:lang w:val="uk-UA"/>
        </w:rPr>
      </w:pPr>
      <w:r w:rsidRPr="00214587">
        <w:rPr>
          <w:rStyle w:val="ac"/>
          <w:b w:val="0"/>
          <w:sz w:val="26"/>
          <w:szCs w:val="26"/>
          <w:lang w:val="uk-UA"/>
        </w:rPr>
        <w:t>- припинити знущання над чорнобильцями шляхом запровадження т. з. «монетизації» соціальних гарантій, ос</w:t>
      </w:r>
      <w:r w:rsidR="0082705E" w:rsidRPr="00214587">
        <w:rPr>
          <w:rStyle w:val="ac"/>
          <w:b w:val="0"/>
          <w:sz w:val="26"/>
          <w:szCs w:val="26"/>
          <w:lang w:val="uk-UA"/>
        </w:rPr>
        <w:t>кільки ці гарантії встановлені Д</w:t>
      </w:r>
      <w:r w:rsidRPr="00214587">
        <w:rPr>
          <w:rStyle w:val="ac"/>
          <w:b w:val="0"/>
          <w:sz w:val="26"/>
          <w:szCs w:val="26"/>
          <w:lang w:val="uk-UA"/>
        </w:rPr>
        <w:t>ержавою і мають бути забезпечені кожному, незалежно від місця проживання;</w:t>
      </w:r>
    </w:p>
    <w:p w:rsidR="00506D36" w:rsidRPr="00214587" w:rsidRDefault="005411EA" w:rsidP="0003266F">
      <w:pPr>
        <w:pStyle w:val="a4"/>
        <w:ind w:left="567" w:firstLine="851"/>
        <w:jc w:val="both"/>
        <w:rPr>
          <w:b/>
          <w:bCs/>
          <w:sz w:val="26"/>
          <w:szCs w:val="26"/>
          <w:lang w:val="uk-UA"/>
        </w:rPr>
      </w:pPr>
      <w:r w:rsidRPr="00214587">
        <w:rPr>
          <w:rStyle w:val="ac"/>
          <w:b w:val="0"/>
          <w:sz w:val="26"/>
          <w:szCs w:val="26"/>
          <w:lang w:val="uk-UA"/>
        </w:rPr>
        <w:t xml:space="preserve">- </w:t>
      </w:r>
      <w:r w:rsidR="00E26691" w:rsidRPr="00214587">
        <w:rPr>
          <w:rStyle w:val="ac"/>
          <w:b w:val="0"/>
          <w:sz w:val="26"/>
          <w:szCs w:val="26"/>
          <w:lang w:val="uk-UA"/>
        </w:rPr>
        <w:t>невідкладно прийняти підготовлений гр</w:t>
      </w:r>
      <w:r w:rsidR="0052237C" w:rsidRPr="00214587">
        <w:rPr>
          <w:rStyle w:val="ac"/>
          <w:b w:val="0"/>
          <w:sz w:val="26"/>
          <w:szCs w:val="26"/>
          <w:lang w:val="uk-UA"/>
        </w:rPr>
        <w:t>омадськими чорнобильським орга</w:t>
      </w:r>
      <w:r w:rsidR="00E26691" w:rsidRPr="00214587">
        <w:rPr>
          <w:rStyle w:val="ac"/>
          <w:b w:val="0"/>
          <w:sz w:val="26"/>
          <w:szCs w:val="26"/>
          <w:lang w:val="uk-UA"/>
        </w:rPr>
        <w:t>нізаціями</w:t>
      </w:r>
      <w:r w:rsidR="00E26691" w:rsidRPr="00214587">
        <w:rPr>
          <w:rStyle w:val="ac"/>
          <w:sz w:val="26"/>
          <w:szCs w:val="26"/>
          <w:lang w:val="uk-UA"/>
        </w:rPr>
        <w:t xml:space="preserve"> </w:t>
      </w:r>
      <w:r w:rsidR="00E26691" w:rsidRPr="00214587">
        <w:rPr>
          <w:sz w:val="26"/>
          <w:szCs w:val="26"/>
          <w:lang w:val="uk-UA"/>
        </w:rPr>
        <w:t xml:space="preserve">проект постанови Кабінету Міністрів України про внесення </w:t>
      </w:r>
      <w:r w:rsidR="0082705E" w:rsidRPr="00214587">
        <w:rPr>
          <w:sz w:val="26"/>
          <w:szCs w:val="26"/>
          <w:lang w:val="uk-UA"/>
        </w:rPr>
        <w:t xml:space="preserve"> </w:t>
      </w:r>
      <w:r w:rsidR="00E26691" w:rsidRPr="00214587">
        <w:rPr>
          <w:sz w:val="26"/>
          <w:szCs w:val="26"/>
          <w:lang w:val="uk-UA"/>
        </w:rPr>
        <w:t>змін</w:t>
      </w:r>
      <w:r w:rsidR="0082705E" w:rsidRPr="00214587">
        <w:rPr>
          <w:sz w:val="26"/>
          <w:szCs w:val="26"/>
          <w:lang w:val="uk-UA"/>
        </w:rPr>
        <w:t xml:space="preserve"> </w:t>
      </w:r>
      <w:r w:rsidR="00E26691" w:rsidRPr="00214587">
        <w:rPr>
          <w:sz w:val="26"/>
          <w:szCs w:val="26"/>
          <w:lang w:val="uk-UA"/>
        </w:rPr>
        <w:t xml:space="preserve"> до </w:t>
      </w:r>
      <w:r w:rsidR="0082705E" w:rsidRPr="00214587">
        <w:rPr>
          <w:sz w:val="26"/>
          <w:szCs w:val="26"/>
          <w:lang w:val="uk-UA"/>
        </w:rPr>
        <w:t xml:space="preserve"> </w:t>
      </w:r>
      <w:r w:rsidR="00E26691" w:rsidRPr="00214587">
        <w:rPr>
          <w:sz w:val="26"/>
          <w:szCs w:val="26"/>
          <w:lang w:val="uk-UA"/>
        </w:rPr>
        <w:t xml:space="preserve">Урядової </w:t>
      </w:r>
      <w:r w:rsidR="0082705E" w:rsidRPr="00214587">
        <w:rPr>
          <w:sz w:val="26"/>
          <w:szCs w:val="26"/>
          <w:lang w:val="uk-UA"/>
        </w:rPr>
        <w:t xml:space="preserve"> </w:t>
      </w:r>
      <w:r w:rsidR="00E26691" w:rsidRPr="00214587">
        <w:rPr>
          <w:sz w:val="26"/>
          <w:szCs w:val="26"/>
          <w:lang w:val="uk-UA"/>
        </w:rPr>
        <w:t>постанови № 1210 від 23.11.2011 року, стосовно поетапного поліпшення пенсійного забезпечення чорнобильців;</w:t>
      </w:r>
    </w:p>
    <w:p w:rsidR="00506D36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- невідкладно внести до Верховної Ради України проект окремого законодавчого акту про виконання рішень національних судів і Європейського Суду з прав людини, прийнятих за позовами чорнобильців;</w:t>
      </w:r>
    </w:p>
    <w:p w:rsidR="00506D36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 xml:space="preserve">- </w:t>
      </w:r>
      <w:proofErr w:type="spellStart"/>
      <w:r w:rsidRPr="00214587">
        <w:rPr>
          <w:sz w:val="26"/>
          <w:szCs w:val="26"/>
          <w:lang w:val="uk-UA"/>
        </w:rPr>
        <w:t>забов’</w:t>
      </w:r>
      <w:r w:rsidR="004832BF" w:rsidRPr="00214587">
        <w:rPr>
          <w:sz w:val="26"/>
          <w:szCs w:val="26"/>
          <w:lang w:val="uk-UA"/>
        </w:rPr>
        <w:t>язати</w:t>
      </w:r>
      <w:proofErr w:type="spellEnd"/>
      <w:r w:rsidR="004832BF" w:rsidRPr="00214587">
        <w:rPr>
          <w:sz w:val="26"/>
          <w:szCs w:val="26"/>
          <w:lang w:val="uk-UA"/>
        </w:rPr>
        <w:t xml:space="preserve"> Міністерство</w:t>
      </w:r>
      <w:r w:rsidRPr="00214587">
        <w:rPr>
          <w:sz w:val="26"/>
          <w:szCs w:val="26"/>
          <w:lang w:val="uk-UA"/>
        </w:rPr>
        <w:t xml:space="preserve"> соціальної політики України</w:t>
      </w:r>
      <w:r w:rsidR="00A3216F" w:rsidRPr="00214587">
        <w:rPr>
          <w:sz w:val="26"/>
          <w:szCs w:val="26"/>
          <w:lang w:val="uk-UA"/>
        </w:rPr>
        <w:t xml:space="preserve"> та Міністерство юстиції У</w:t>
      </w:r>
      <w:r w:rsidR="004832BF" w:rsidRPr="00214587">
        <w:rPr>
          <w:sz w:val="26"/>
          <w:szCs w:val="26"/>
          <w:lang w:val="uk-UA"/>
        </w:rPr>
        <w:t>країни</w:t>
      </w:r>
      <w:r w:rsidRPr="00214587">
        <w:rPr>
          <w:sz w:val="26"/>
          <w:szCs w:val="26"/>
          <w:lang w:val="uk-UA"/>
        </w:rPr>
        <w:t xml:space="preserve"> негайно видати Наказ про Порядок відшкодування за самостійне </w:t>
      </w:r>
      <w:proofErr w:type="spellStart"/>
      <w:r w:rsidRPr="00214587">
        <w:rPr>
          <w:sz w:val="26"/>
          <w:szCs w:val="26"/>
          <w:lang w:val="uk-UA"/>
        </w:rPr>
        <w:t>дороговартісне</w:t>
      </w:r>
      <w:proofErr w:type="spellEnd"/>
      <w:r w:rsidRPr="00214587">
        <w:rPr>
          <w:sz w:val="26"/>
          <w:szCs w:val="26"/>
          <w:lang w:val="uk-UA"/>
        </w:rPr>
        <w:t xml:space="preserve"> лікування чорнобильців;</w:t>
      </w:r>
    </w:p>
    <w:p w:rsidR="00506D36" w:rsidRPr="00214587" w:rsidRDefault="00506D36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- під час реформування системи охорони здоров’я України забезпечити збереження спеціалізованих медичних закладів для чорнобильців, а також гарантії безоплатного якісного лікування ліквідаторів, потерпілих, дітей-чорнобильців;</w:t>
      </w:r>
    </w:p>
    <w:p w:rsidR="005411EA" w:rsidRPr="00214587" w:rsidRDefault="0082705E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proofErr w:type="spellStart"/>
      <w:r w:rsidRPr="00214587">
        <w:rPr>
          <w:sz w:val="26"/>
          <w:szCs w:val="26"/>
          <w:lang w:val="uk-UA"/>
        </w:rPr>
        <w:t>-</w:t>
      </w:r>
      <w:r w:rsidR="005411EA" w:rsidRPr="00214587">
        <w:rPr>
          <w:sz w:val="26"/>
          <w:szCs w:val="26"/>
          <w:lang w:val="uk-UA"/>
        </w:rPr>
        <w:t>враховуючи</w:t>
      </w:r>
      <w:proofErr w:type="spellEnd"/>
      <w:r w:rsidR="005411EA" w:rsidRPr="00214587">
        <w:rPr>
          <w:sz w:val="26"/>
          <w:szCs w:val="26"/>
          <w:lang w:val="uk-UA"/>
        </w:rPr>
        <w:t xml:space="preserve"> важкий матеріальний стан більшості чорнобильців, з метою забезпечення їх якісною медичною допомогою у спеціалізованих диспансерах і відділеннях, внести зміни до постанови Кабінету Міністрів України від 25 березня 2009 року №333 «Деякі питання державного регулювання цін на лікарські засоби і вироби медичного призначення»</w:t>
      </w:r>
      <w:r w:rsidRPr="00214587">
        <w:rPr>
          <w:sz w:val="26"/>
          <w:szCs w:val="26"/>
          <w:lang w:val="uk-UA"/>
        </w:rPr>
        <w:t xml:space="preserve"> -</w:t>
      </w:r>
      <w:r w:rsidR="005411EA" w:rsidRPr="00214587">
        <w:rPr>
          <w:sz w:val="26"/>
          <w:szCs w:val="26"/>
          <w:lang w:val="uk-UA"/>
        </w:rPr>
        <w:t xml:space="preserve"> щодо розширення Національного переліку ліків життєво необхідними препаратами;</w:t>
      </w:r>
    </w:p>
    <w:p w:rsidR="00506D36" w:rsidRPr="00214587" w:rsidRDefault="0052237C" w:rsidP="00A3216F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- в проекті Закону України «</w:t>
      </w:r>
      <w:r w:rsidR="0003266F" w:rsidRPr="00214587">
        <w:rPr>
          <w:sz w:val="26"/>
          <w:szCs w:val="26"/>
          <w:lang w:val="uk-UA"/>
        </w:rPr>
        <w:t>Про Д</w:t>
      </w:r>
      <w:r w:rsidRPr="00214587">
        <w:rPr>
          <w:sz w:val="26"/>
          <w:szCs w:val="26"/>
          <w:lang w:val="uk-UA"/>
        </w:rPr>
        <w:t xml:space="preserve">ержавний бюджет України на 2019 рік» </w:t>
      </w:r>
      <w:r w:rsidR="0003266F" w:rsidRPr="00214587">
        <w:rPr>
          <w:sz w:val="26"/>
          <w:szCs w:val="26"/>
          <w:lang w:val="uk-UA"/>
        </w:rPr>
        <w:t xml:space="preserve">обов’язково </w:t>
      </w:r>
      <w:r w:rsidR="00A3216F" w:rsidRPr="00214587">
        <w:rPr>
          <w:sz w:val="26"/>
          <w:szCs w:val="26"/>
          <w:lang w:val="uk-UA"/>
        </w:rPr>
        <w:t>передбачити</w:t>
      </w:r>
      <w:r w:rsidRPr="00214587">
        <w:rPr>
          <w:sz w:val="26"/>
          <w:szCs w:val="26"/>
          <w:lang w:val="uk-UA"/>
        </w:rPr>
        <w:t>:</w:t>
      </w:r>
    </w:p>
    <w:p w:rsidR="00506D36" w:rsidRPr="00214587" w:rsidRDefault="0082705E" w:rsidP="0052237C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1)</w:t>
      </w:r>
      <w:r w:rsidR="00506D36" w:rsidRPr="00214587">
        <w:rPr>
          <w:sz w:val="26"/>
          <w:szCs w:val="26"/>
          <w:lang w:val="uk-UA"/>
        </w:rPr>
        <w:t>фінансування програми КПКВК 2501200 «Соціальний захист громадян, які постраждали внаслідок Чорнобильської катастрофи» у сумі не менше 3,8 млрд. грн., з розшифровкою усіх напрямів витрат цієї програми;</w:t>
      </w:r>
    </w:p>
    <w:p w:rsidR="00A3216F" w:rsidRPr="00214587" w:rsidRDefault="0082705E" w:rsidP="00A3216F">
      <w:pPr>
        <w:pStyle w:val="a4"/>
        <w:ind w:left="567" w:firstLine="851"/>
        <w:jc w:val="both"/>
        <w:rPr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2)</w:t>
      </w:r>
      <w:r w:rsidR="00506D36" w:rsidRPr="00214587">
        <w:rPr>
          <w:sz w:val="26"/>
          <w:szCs w:val="26"/>
          <w:lang w:val="uk-UA"/>
        </w:rPr>
        <w:t>відновлення бюджетної програми КПКВК 2301490 «Комплексне медико-санітарне забезпечення та лікування онкологічних захворювань із застосуванням високовартісних медичних технологій громадян, які постраждали внаслідок Чорнобильської катастрофи» у сумі не менше 120 млн. грн.;</w:t>
      </w:r>
    </w:p>
    <w:p w:rsidR="00506D36" w:rsidRPr="00214587" w:rsidRDefault="0082705E" w:rsidP="0052237C">
      <w:pPr>
        <w:pStyle w:val="a4"/>
        <w:ind w:left="567" w:firstLine="851"/>
        <w:jc w:val="both"/>
        <w:rPr>
          <w:sz w:val="26"/>
          <w:szCs w:val="26"/>
        </w:rPr>
      </w:pPr>
      <w:r w:rsidRPr="00214587">
        <w:rPr>
          <w:sz w:val="26"/>
          <w:szCs w:val="26"/>
          <w:lang w:val="uk-UA"/>
        </w:rPr>
        <w:t>3)</w:t>
      </w:r>
      <w:r w:rsidR="00506D36" w:rsidRPr="00214587">
        <w:rPr>
          <w:sz w:val="26"/>
          <w:szCs w:val="26"/>
          <w:lang w:val="uk-UA"/>
        </w:rPr>
        <w:t>в</w:t>
      </w:r>
      <w:proofErr w:type="spellStart"/>
      <w:r w:rsidR="00506D36" w:rsidRPr="00214587">
        <w:rPr>
          <w:sz w:val="26"/>
          <w:szCs w:val="26"/>
        </w:rPr>
        <w:t>ідновлення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бюджетної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програми</w:t>
      </w:r>
      <w:proofErr w:type="spellEnd"/>
      <w:r w:rsidR="00506D36" w:rsidRPr="00214587">
        <w:rPr>
          <w:sz w:val="26"/>
          <w:szCs w:val="26"/>
        </w:rPr>
        <w:t xml:space="preserve"> «</w:t>
      </w:r>
      <w:proofErr w:type="spellStart"/>
      <w:r w:rsidR="00506D36" w:rsidRPr="00214587">
        <w:rPr>
          <w:sz w:val="26"/>
          <w:szCs w:val="26"/>
        </w:rPr>
        <w:t>Забезпечення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житлом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громадян</w:t>
      </w:r>
      <w:proofErr w:type="spellEnd"/>
      <w:r w:rsidR="00506D36" w:rsidRPr="00214587">
        <w:rPr>
          <w:sz w:val="26"/>
          <w:szCs w:val="26"/>
        </w:rPr>
        <w:t xml:space="preserve">, </w:t>
      </w:r>
      <w:proofErr w:type="spellStart"/>
      <w:r w:rsidR="00506D36" w:rsidRPr="00214587">
        <w:rPr>
          <w:sz w:val="26"/>
          <w:szCs w:val="26"/>
        </w:rPr>
        <w:t>постраждалих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внаслідок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Чорнобильської</w:t>
      </w:r>
      <w:proofErr w:type="spellEnd"/>
      <w:r w:rsidR="00506D36" w:rsidRPr="00214587">
        <w:rPr>
          <w:sz w:val="26"/>
          <w:szCs w:val="26"/>
        </w:rPr>
        <w:t xml:space="preserve"> </w:t>
      </w:r>
      <w:proofErr w:type="spellStart"/>
      <w:r w:rsidR="00506D36" w:rsidRPr="00214587">
        <w:rPr>
          <w:sz w:val="26"/>
          <w:szCs w:val="26"/>
        </w:rPr>
        <w:t>катастрофи</w:t>
      </w:r>
      <w:proofErr w:type="spellEnd"/>
      <w:r w:rsidR="00506D36" w:rsidRPr="00214587">
        <w:rPr>
          <w:sz w:val="26"/>
          <w:szCs w:val="26"/>
        </w:rPr>
        <w:t xml:space="preserve">» у </w:t>
      </w:r>
      <w:proofErr w:type="spellStart"/>
      <w:r w:rsidR="00506D36" w:rsidRPr="00214587">
        <w:rPr>
          <w:sz w:val="26"/>
          <w:szCs w:val="26"/>
        </w:rPr>
        <w:t>сумі</w:t>
      </w:r>
      <w:proofErr w:type="spellEnd"/>
      <w:r w:rsidR="00506D36" w:rsidRPr="00214587">
        <w:rPr>
          <w:sz w:val="26"/>
          <w:szCs w:val="26"/>
        </w:rPr>
        <w:t xml:space="preserve"> 300 млн. грн.;</w:t>
      </w:r>
    </w:p>
    <w:p w:rsidR="00506D36" w:rsidRPr="00214587" w:rsidRDefault="0082705E" w:rsidP="00A3216F">
      <w:pPr>
        <w:pStyle w:val="a4"/>
        <w:ind w:left="567" w:firstLine="851"/>
        <w:jc w:val="both"/>
        <w:rPr>
          <w:rStyle w:val="apple-converted-space"/>
          <w:sz w:val="26"/>
          <w:szCs w:val="26"/>
          <w:lang w:val="uk-UA"/>
        </w:rPr>
      </w:pPr>
      <w:r w:rsidRPr="00214587">
        <w:rPr>
          <w:sz w:val="26"/>
          <w:szCs w:val="26"/>
          <w:lang w:val="uk-UA"/>
        </w:rPr>
        <w:t>4)</w:t>
      </w:r>
      <w:r w:rsidR="00506D36" w:rsidRPr="00214587">
        <w:rPr>
          <w:sz w:val="26"/>
          <w:szCs w:val="26"/>
          <w:lang w:val="uk-UA"/>
        </w:rPr>
        <w:t>д</w:t>
      </w:r>
      <w:r w:rsidR="005411EA" w:rsidRPr="00214587">
        <w:rPr>
          <w:sz w:val="26"/>
          <w:szCs w:val="26"/>
          <w:lang w:val="uk-UA"/>
        </w:rPr>
        <w:t xml:space="preserve">одаткове фінансування </w:t>
      </w:r>
      <w:r w:rsidR="00506D36" w:rsidRPr="00214587">
        <w:rPr>
          <w:sz w:val="26"/>
          <w:szCs w:val="26"/>
          <w:lang w:val="uk-UA"/>
        </w:rPr>
        <w:t xml:space="preserve">для виконання норм </w:t>
      </w:r>
      <w:r w:rsidR="005411EA" w:rsidRPr="00214587">
        <w:rPr>
          <w:sz w:val="26"/>
          <w:szCs w:val="26"/>
          <w:lang w:val="uk-UA"/>
        </w:rPr>
        <w:t>згаданих проектів</w:t>
      </w:r>
      <w:r w:rsidR="00506D36" w:rsidRPr="00214587">
        <w:rPr>
          <w:sz w:val="26"/>
          <w:szCs w:val="26"/>
          <w:lang w:val="uk-UA"/>
        </w:rPr>
        <w:t xml:space="preserve"> Закону України </w:t>
      </w:r>
      <w:r w:rsidRPr="00214587">
        <w:rPr>
          <w:sz w:val="26"/>
          <w:szCs w:val="26"/>
          <w:lang w:val="uk-UA"/>
        </w:rPr>
        <w:t>(№4442, №4442-1)</w:t>
      </w:r>
      <w:r w:rsidR="005411EA" w:rsidRPr="00214587">
        <w:rPr>
          <w:sz w:val="26"/>
          <w:szCs w:val="26"/>
          <w:lang w:val="uk-UA"/>
        </w:rPr>
        <w:t xml:space="preserve">та постанови Кабінету Міністрів України </w:t>
      </w:r>
      <w:r w:rsidR="00506D36" w:rsidRPr="00214587">
        <w:rPr>
          <w:sz w:val="26"/>
          <w:szCs w:val="26"/>
          <w:lang w:val="uk-UA"/>
        </w:rPr>
        <w:t xml:space="preserve">про поліпшення пенсійного забезпечення </w:t>
      </w:r>
      <w:r w:rsidR="005411EA" w:rsidRPr="00214587">
        <w:rPr>
          <w:sz w:val="26"/>
          <w:szCs w:val="26"/>
          <w:lang w:val="uk-UA"/>
        </w:rPr>
        <w:t xml:space="preserve"> </w:t>
      </w:r>
      <w:r w:rsidR="00506D36" w:rsidRPr="00214587">
        <w:rPr>
          <w:sz w:val="26"/>
          <w:szCs w:val="26"/>
          <w:lang w:val="uk-UA"/>
        </w:rPr>
        <w:t>чорнобильців.</w:t>
      </w:r>
    </w:p>
    <w:p w:rsidR="0052237C" w:rsidRPr="00214587" w:rsidRDefault="0052237C" w:rsidP="0052237C">
      <w:pPr>
        <w:pStyle w:val="a4"/>
        <w:ind w:left="567" w:firstLine="851"/>
        <w:jc w:val="both"/>
        <w:rPr>
          <w:rStyle w:val="apple-converted-space"/>
          <w:b/>
          <w:lang w:val="uk-UA"/>
        </w:rPr>
      </w:pPr>
    </w:p>
    <w:p w:rsidR="00506D36" w:rsidRPr="002348B4" w:rsidRDefault="00506D36" w:rsidP="002348B4">
      <w:pPr>
        <w:rPr>
          <w:color w:val="002060"/>
          <w:sz w:val="28"/>
          <w:szCs w:val="28"/>
          <w:lang w:val="uk-UA"/>
        </w:rPr>
      </w:pPr>
      <w:bookmarkStart w:id="0" w:name="_GoBack"/>
      <w:bookmarkEnd w:id="0"/>
    </w:p>
    <w:p w:rsidR="00506D36" w:rsidRDefault="00506D36" w:rsidP="00506D36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031BA1" w:rsidRPr="00031BA1" w:rsidRDefault="00031BA1">
      <w:pPr>
        <w:rPr>
          <w:lang w:val="uk-UA"/>
        </w:rPr>
      </w:pPr>
    </w:p>
    <w:p w:rsidR="005B216E" w:rsidRDefault="005B216E" w:rsidP="00305563">
      <w:pPr>
        <w:pStyle w:val="a3"/>
        <w:ind w:left="0"/>
        <w:rPr>
          <w:sz w:val="28"/>
          <w:szCs w:val="28"/>
          <w:lang w:val="uk-UA"/>
        </w:rPr>
      </w:pPr>
    </w:p>
    <w:p w:rsidR="00183EB0" w:rsidRDefault="00183EB0" w:rsidP="00183EB0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183EB0" w:rsidRPr="005B216E" w:rsidRDefault="00183EB0" w:rsidP="00183EB0">
      <w:pPr>
        <w:pStyle w:val="a3"/>
        <w:ind w:left="0"/>
        <w:jc w:val="center"/>
        <w:rPr>
          <w:sz w:val="28"/>
          <w:szCs w:val="28"/>
          <w:lang w:val="uk-UA"/>
        </w:rPr>
      </w:pPr>
    </w:p>
    <w:sectPr w:rsidR="00183EB0" w:rsidRPr="005B216E" w:rsidSect="00A3216F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BD6"/>
    <w:multiLevelType w:val="hybridMultilevel"/>
    <w:tmpl w:val="21D07AC2"/>
    <w:lvl w:ilvl="0" w:tplc="CFA8EC06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78A17E2"/>
    <w:multiLevelType w:val="hybridMultilevel"/>
    <w:tmpl w:val="BE400E76"/>
    <w:lvl w:ilvl="0" w:tplc="DAD8364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74183"/>
    <w:multiLevelType w:val="hybridMultilevel"/>
    <w:tmpl w:val="D6A62C3C"/>
    <w:lvl w:ilvl="0" w:tplc="206AE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CE4A97"/>
    <w:multiLevelType w:val="hybridMultilevel"/>
    <w:tmpl w:val="427053BA"/>
    <w:lvl w:ilvl="0" w:tplc="1346E6A8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DC3B06"/>
    <w:multiLevelType w:val="hybridMultilevel"/>
    <w:tmpl w:val="E120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974FE"/>
    <w:multiLevelType w:val="hybridMultilevel"/>
    <w:tmpl w:val="C3C4AF0E"/>
    <w:lvl w:ilvl="0" w:tplc="94F8737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A06C3"/>
    <w:multiLevelType w:val="hybridMultilevel"/>
    <w:tmpl w:val="5E1823EE"/>
    <w:lvl w:ilvl="0" w:tplc="86863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7">
    <w:nsid w:val="7E4A25E7"/>
    <w:multiLevelType w:val="hybridMultilevel"/>
    <w:tmpl w:val="A934DF26"/>
    <w:lvl w:ilvl="0" w:tplc="E2A2F9E0">
      <w:start w:val="11"/>
      <w:numFmt w:val="bullet"/>
      <w:lvlText w:val="-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3BB"/>
    <w:rsid w:val="000304F8"/>
    <w:rsid w:val="00031BA1"/>
    <w:rsid w:val="0003266F"/>
    <w:rsid w:val="00062653"/>
    <w:rsid w:val="00064DE6"/>
    <w:rsid w:val="000758D9"/>
    <w:rsid w:val="00076FBC"/>
    <w:rsid w:val="000C5B1C"/>
    <w:rsid w:val="000D113D"/>
    <w:rsid w:val="000E7BF1"/>
    <w:rsid w:val="001426C1"/>
    <w:rsid w:val="00142DF2"/>
    <w:rsid w:val="001460EF"/>
    <w:rsid w:val="001575E0"/>
    <w:rsid w:val="00183EB0"/>
    <w:rsid w:val="00191D74"/>
    <w:rsid w:val="001A2403"/>
    <w:rsid w:val="001D0287"/>
    <w:rsid w:val="002027D7"/>
    <w:rsid w:val="002060F5"/>
    <w:rsid w:val="00214587"/>
    <w:rsid w:val="002348B4"/>
    <w:rsid w:val="00252916"/>
    <w:rsid w:val="00265C05"/>
    <w:rsid w:val="00274CBA"/>
    <w:rsid w:val="00282927"/>
    <w:rsid w:val="002B46F0"/>
    <w:rsid w:val="002B652A"/>
    <w:rsid w:val="00305563"/>
    <w:rsid w:val="00343B1A"/>
    <w:rsid w:val="00355A25"/>
    <w:rsid w:val="003626A1"/>
    <w:rsid w:val="003747D4"/>
    <w:rsid w:val="003D577D"/>
    <w:rsid w:val="003E47F3"/>
    <w:rsid w:val="003F27A9"/>
    <w:rsid w:val="0045341C"/>
    <w:rsid w:val="00460D54"/>
    <w:rsid w:val="004661C0"/>
    <w:rsid w:val="004832BF"/>
    <w:rsid w:val="00490FF0"/>
    <w:rsid w:val="004B2D3D"/>
    <w:rsid w:val="005034EA"/>
    <w:rsid w:val="00506056"/>
    <w:rsid w:val="00506240"/>
    <w:rsid w:val="00506D36"/>
    <w:rsid w:val="005158CB"/>
    <w:rsid w:val="0052237C"/>
    <w:rsid w:val="005411EA"/>
    <w:rsid w:val="005623DF"/>
    <w:rsid w:val="00573230"/>
    <w:rsid w:val="005858AB"/>
    <w:rsid w:val="005A2563"/>
    <w:rsid w:val="005B0BF2"/>
    <w:rsid w:val="005B216E"/>
    <w:rsid w:val="00610D4E"/>
    <w:rsid w:val="00611C46"/>
    <w:rsid w:val="006251E9"/>
    <w:rsid w:val="006319B8"/>
    <w:rsid w:val="00632450"/>
    <w:rsid w:val="00644D51"/>
    <w:rsid w:val="0064671D"/>
    <w:rsid w:val="00654930"/>
    <w:rsid w:val="0067184A"/>
    <w:rsid w:val="00671BB7"/>
    <w:rsid w:val="0067579D"/>
    <w:rsid w:val="00685E2B"/>
    <w:rsid w:val="00695772"/>
    <w:rsid w:val="006B55CD"/>
    <w:rsid w:val="006B7B63"/>
    <w:rsid w:val="006D28A0"/>
    <w:rsid w:val="006F08FC"/>
    <w:rsid w:val="00712198"/>
    <w:rsid w:val="007307E8"/>
    <w:rsid w:val="00745F26"/>
    <w:rsid w:val="00765813"/>
    <w:rsid w:val="00767369"/>
    <w:rsid w:val="00772B8E"/>
    <w:rsid w:val="00781E33"/>
    <w:rsid w:val="0079713B"/>
    <w:rsid w:val="007A2E4E"/>
    <w:rsid w:val="007C1DB1"/>
    <w:rsid w:val="007D3985"/>
    <w:rsid w:val="007E475B"/>
    <w:rsid w:val="0082705E"/>
    <w:rsid w:val="008270DA"/>
    <w:rsid w:val="00852701"/>
    <w:rsid w:val="008B49C2"/>
    <w:rsid w:val="008C4F57"/>
    <w:rsid w:val="008F58B8"/>
    <w:rsid w:val="0093271D"/>
    <w:rsid w:val="00986709"/>
    <w:rsid w:val="009B54A4"/>
    <w:rsid w:val="009E56DC"/>
    <w:rsid w:val="009F05F4"/>
    <w:rsid w:val="009F210C"/>
    <w:rsid w:val="009F351F"/>
    <w:rsid w:val="00A25AD7"/>
    <w:rsid w:val="00A30873"/>
    <w:rsid w:val="00A3216F"/>
    <w:rsid w:val="00A34C45"/>
    <w:rsid w:val="00A46EED"/>
    <w:rsid w:val="00A648C9"/>
    <w:rsid w:val="00A71201"/>
    <w:rsid w:val="00A77231"/>
    <w:rsid w:val="00AA52F9"/>
    <w:rsid w:val="00AC5476"/>
    <w:rsid w:val="00AE009D"/>
    <w:rsid w:val="00AE2B54"/>
    <w:rsid w:val="00B006C8"/>
    <w:rsid w:val="00B156F7"/>
    <w:rsid w:val="00B243BB"/>
    <w:rsid w:val="00B25956"/>
    <w:rsid w:val="00B3606F"/>
    <w:rsid w:val="00B87A0F"/>
    <w:rsid w:val="00BB1D5E"/>
    <w:rsid w:val="00BC000B"/>
    <w:rsid w:val="00BF7B61"/>
    <w:rsid w:val="00C11CEE"/>
    <w:rsid w:val="00C13AE8"/>
    <w:rsid w:val="00C745A8"/>
    <w:rsid w:val="00CC6F77"/>
    <w:rsid w:val="00D03732"/>
    <w:rsid w:val="00D06B35"/>
    <w:rsid w:val="00D2519A"/>
    <w:rsid w:val="00D266A3"/>
    <w:rsid w:val="00D37A7F"/>
    <w:rsid w:val="00D860C1"/>
    <w:rsid w:val="00D96375"/>
    <w:rsid w:val="00DE1321"/>
    <w:rsid w:val="00E2350F"/>
    <w:rsid w:val="00E26691"/>
    <w:rsid w:val="00E6054D"/>
    <w:rsid w:val="00E64A51"/>
    <w:rsid w:val="00E7378A"/>
    <w:rsid w:val="00E778EC"/>
    <w:rsid w:val="00E827E6"/>
    <w:rsid w:val="00E86D7D"/>
    <w:rsid w:val="00E94196"/>
    <w:rsid w:val="00EB5EF2"/>
    <w:rsid w:val="00EE3092"/>
    <w:rsid w:val="00EF59CC"/>
    <w:rsid w:val="00EF66E1"/>
    <w:rsid w:val="00F25DB7"/>
    <w:rsid w:val="00F568DA"/>
    <w:rsid w:val="00F64C5D"/>
    <w:rsid w:val="00F73063"/>
    <w:rsid w:val="00F74F9A"/>
    <w:rsid w:val="00FB1A53"/>
    <w:rsid w:val="00FD33E8"/>
    <w:rsid w:val="00FD67D4"/>
    <w:rsid w:val="00FE3057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BB"/>
    <w:pPr>
      <w:ind w:left="720"/>
      <w:contextualSpacing/>
    </w:pPr>
  </w:style>
  <w:style w:type="paragraph" w:styleId="a4">
    <w:name w:val="No Spacing"/>
    <w:uiPriority w:val="1"/>
    <w:qFormat/>
    <w:rsid w:val="00D8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ий текст"/>
    <w:basedOn w:val="a"/>
    <w:rsid w:val="009E56D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Підпис"/>
    <w:basedOn w:val="a"/>
    <w:rsid w:val="009E56DC"/>
    <w:pPr>
      <w:keepLines/>
      <w:tabs>
        <w:tab w:val="center" w:pos="2268"/>
        <w:tab w:val="left" w:pos="6804"/>
      </w:tabs>
      <w:spacing w:before="600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Установа"/>
    <w:basedOn w:val="a"/>
    <w:rsid w:val="009E56DC"/>
    <w:pPr>
      <w:keepNext/>
      <w:keepLines/>
      <w:spacing w:before="240"/>
      <w:jc w:val="center"/>
    </w:pPr>
    <w:rPr>
      <w:rFonts w:ascii="Antiqua" w:hAnsi="Antiqua"/>
      <w:b/>
      <w:i/>
      <w:smallCaps/>
      <w:sz w:val="48"/>
      <w:szCs w:val="20"/>
      <w:lang w:val="uk-UA"/>
    </w:rPr>
  </w:style>
  <w:style w:type="paragraph" w:customStyle="1" w:styleId="aa">
    <w:name w:val="Вид документа"/>
    <w:basedOn w:val="a9"/>
    <w:next w:val="a"/>
    <w:rsid w:val="009E56DC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b">
    <w:name w:val="Назва документа"/>
    <w:basedOn w:val="a"/>
    <w:next w:val="a7"/>
    <w:rsid w:val="009E56DC"/>
    <w:pPr>
      <w:keepNext/>
      <w:keepLines/>
      <w:spacing w:before="48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styleId="ac">
    <w:name w:val="Strong"/>
    <w:basedOn w:val="a0"/>
    <w:uiPriority w:val="22"/>
    <w:qFormat/>
    <w:rsid w:val="00644D51"/>
    <w:rPr>
      <w:b/>
      <w:bCs/>
    </w:rPr>
  </w:style>
  <w:style w:type="table" w:styleId="ad">
    <w:name w:val="Table Grid"/>
    <w:basedOn w:val="a1"/>
    <w:uiPriority w:val="59"/>
    <w:rsid w:val="0003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06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D36"/>
  </w:style>
  <w:style w:type="character" w:styleId="af">
    <w:name w:val="Emphasis"/>
    <w:basedOn w:val="a0"/>
    <w:uiPriority w:val="20"/>
    <w:qFormat/>
    <w:rsid w:val="00506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1D3A-FEA1-4491-8AF2-2E132763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</cp:revision>
  <cp:lastPrinted>2018-06-20T12:41:00Z</cp:lastPrinted>
  <dcterms:created xsi:type="dcterms:W3CDTF">2018-06-18T09:40:00Z</dcterms:created>
  <dcterms:modified xsi:type="dcterms:W3CDTF">2018-06-20T12:42:00Z</dcterms:modified>
</cp:coreProperties>
</file>